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67BB7A1" w:rsidR="00895250" w:rsidRPr="001D7D28"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1D7D28">
        <w:rPr>
          <w:rFonts w:ascii="Arial" w:eastAsia="MS Mincho" w:hAnsi="Arial"/>
          <w:b/>
          <w:sz w:val="24"/>
          <w:szCs w:val="24"/>
          <w:lang w:val="en-GB" w:eastAsia="x-none"/>
        </w:rPr>
        <w:t>3GPP TSG</w:t>
      </w:r>
      <w:r w:rsidR="00A17DB7" w:rsidRPr="001D7D28">
        <w:rPr>
          <w:rFonts w:ascii="Arial" w:eastAsia="MS Mincho" w:hAnsi="Arial"/>
          <w:b/>
          <w:sz w:val="24"/>
          <w:szCs w:val="24"/>
          <w:lang w:val="en-GB" w:eastAsia="x-none"/>
        </w:rPr>
        <w:t>-RAN WG2 Meeting #10</w:t>
      </w:r>
      <w:r w:rsidR="00D23369">
        <w:rPr>
          <w:rFonts w:ascii="Arial" w:eastAsia="MS Mincho" w:hAnsi="Arial"/>
          <w:b/>
          <w:sz w:val="24"/>
          <w:szCs w:val="24"/>
          <w:lang w:val="en-GB" w:eastAsia="x-none"/>
        </w:rPr>
        <w:t>5</w:t>
      </w:r>
      <w:r w:rsidR="00813145" w:rsidRPr="001D7D28">
        <w:rPr>
          <w:rFonts w:ascii="Arial" w:eastAsia="MS Mincho" w:hAnsi="Arial"/>
          <w:b/>
          <w:sz w:val="24"/>
          <w:szCs w:val="24"/>
          <w:lang w:val="en-GB" w:eastAsia="x-none"/>
        </w:rPr>
        <w:tab/>
        <w:t>R2-1</w:t>
      </w:r>
      <w:r w:rsidR="00D23369">
        <w:rPr>
          <w:rFonts w:ascii="Arial" w:eastAsia="MS Mincho" w:hAnsi="Arial"/>
          <w:b/>
          <w:sz w:val="24"/>
          <w:szCs w:val="24"/>
          <w:lang w:val="en-GB" w:eastAsia="x-none"/>
        </w:rPr>
        <w:t>9</w:t>
      </w:r>
      <w:r w:rsidR="00E13845">
        <w:rPr>
          <w:rFonts w:ascii="Arial" w:eastAsia="MS Mincho" w:hAnsi="Arial"/>
          <w:b/>
          <w:sz w:val="24"/>
          <w:szCs w:val="24"/>
          <w:lang w:val="en-GB" w:eastAsia="x-none"/>
        </w:rPr>
        <w:t>01075</w:t>
      </w:r>
    </w:p>
    <w:p w14:paraId="6877EE3A" w14:textId="6AE0E7B2" w:rsidR="00895250" w:rsidRPr="001D7D28" w:rsidRDefault="00D23369" w:rsidP="00895250">
      <w:pPr>
        <w:widowControl w:val="0"/>
        <w:tabs>
          <w:tab w:val="left" w:pos="1701"/>
          <w:tab w:val="right" w:pos="9923"/>
        </w:tabs>
        <w:spacing w:before="120"/>
        <w:rPr>
          <w:rFonts w:ascii="Arial" w:eastAsia="MS Mincho" w:hAnsi="Arial"/>
          <w:b/>
          <w:sz w:val="24"/>
          <w:szCs w:val="24"/>
          <w:lang w:val="en-GB" w:eastAsia="x-none"/>
        </w:rPr>
      </w:pPr>
      <w:r w:rsidRPr="00D23369">
        <w:rPr>
          <w:rFonts w:ascii="Arial" w:eastAsia="MS Mincho" w:hAnsi="Arial"/>
          <w:b/>
          <w:sz w:val="24"/>
          <w:szCs w:val="24"/>
          <w:lang w:val="en-GB" w:eastAsia="x-none"/>
        </w:rPr>
        <w:t>Athens</w:t>
      </w:r>
      <w:r>
        <w:rPr>
          <w:rFonts w:ascii="Arial" w:eastAsia="MS Mincho" w:hAnsi="Arial"/>
          <w:b/>
          <w:sz w:val="24"/>
          <w:szCs w:val="24"/>
          <w:lang w:val="en-GB" w:eastAsia="x-none"/>
        </w:rPr>
        <w:t xml:space="preserve">, </w:t>
      </w:r>
      <w:r w:rsidRPr="00D23369">
        <w:rPr>
          <w:rFonts w:ascii="Arial" w:eastAsia="MS Mincho" w:hAnsi="Arial"/>
          <w:b/>
          <w:sz w:val="24"/>
          <w:szCs w:val="24"/>
          <w:lang w:val="en-GB" w:eastAsia="x-none"/>
        </w:rPr>
        <w:t>Greece</w:t>
      </w:r>
      <w:r w:rsidR="00A17DB7" w:rsidRPr="001D7D28">
        <w:rPr>
          <w:rFonts w:ascii="Arial" w:eastAsia="MS Mincho" w:hAnsi="Arial"/>
          <w:b/>
          <w:sz w:val="24"/>
          <w:szCs w:val="24"/>
          <w:lang w:val="en-GB" w:eastAsia="x-none"/>
        </w:rPr>
        <w:t xml:space="preserve">, </w:t>
      </w:r>
      <w:r w:rsidRPr="00D23369">
        <w:rPr>
          <w:rFonts w:ascii="Arial" w:eastAsia="MS Mincho" w:hAnsi="Arial"/>
          <w:b/>
          <w:sz w:val="24"/>
          <w:szCs w:val="24"/>
          <w:lang w:val="en-GB" w:eastAsia="x-none"/>
        </w:rPr>
        <w:t>25</w:t>
      </w:r>
      <w:r w:rsidRPr="00D23369">
        <w:rPr>
          <w:rFonts w:ascii="Arial" w:eastAsia="MS Mincho" w:hAnsi="Arial"/>
          <w:b/>
          <w:sz w:val="24"/>
          <w:szCs w:val="24"/>
          <w:vertAlign w:val="superscript"/>
          <w:lang w:val="en-GB" w:eastAsia="x-none"/>
        </w:rPr>
        <w:t>th</w:t>
      </w:r>
      <w:r w:rsidRPr="00D23369">
        <w:rPr>
          <w:rFonts w:ascii="Arial" w:eastAsia="MS Mincho" w:hAnsi="Arial"/>
          <w:b/>
          <w:sz w:val="24"/>
          <w:szCs w:val="24"/>
          <w:lang w:val="en-GB" w:eastAsia="x-none"/>
        </w:rPr>
        <w:t xml:space="preserve"> February </w:t>
      </w:r>
      <w:r w:rsidR="00101011" w:rsidRPr="001D7D28">
        <w:rPr>
          <w:rFonts w:ascii="Arial" w:eastAsia="MS Mincho" w:hAnsi="Arial"/>
          <w:b/>
          <w:sz w:val="24"/>
          <w:szCs w:val="24"/>
          <w:lang w:val="en-GB" w:eastAsia="x-none"/>
        </w:rPr>
        <w:t>-</w:t>
      </w:r>
      <w:r w:rsidRPr="00D23369">
        <w:t xml:space="preserve"> </w:t>
      </w:r>
      <w:r w:rsidRPr="00D23369">
        <w:rPr>
          <w:rFonts w:ascii="Arial" w:eastAsia="MS Mincho" w:hAnsi="Arial"/>
          <w:b/>
          <w:sz w:val="24"/>
          <w:szCs w:val="24"/>
          <w:lang w:val="en-GB" w:eastAsia="x-none"/>
        </w:rPr>
        <w:t>1</w:t>
      </w:r>
      <w:r w:rsidRPr="00D23369">
        <w:rPr>
          <w:rFonts w:ascii="Arial" w:eastAsia="MS Mincho" w:hAnsi="Arial"/>
          <w:b/>
          <w:sz w:val="24"/>
          <w:szCs w:val="24"/>
          <w:vertAlign w:val="superscript"/>
          <w:lang w:val="en-GB" w:eastAsia="x-none"/>
        </w:rPr>
        <w:t>st</w:t>
      </w:r>
      <w:r w:rsidRPr="00D23369">
        <w:rPr>
          <w:rFonts w:ascii="Arial" w:eastAsia="MS Mincho" w:hAnsi="Arial"/>
          <w:b/>
          <w:sz w:val="24"/>
          <w:szCs w:val="24"/>
          <w:lang w:val="en-GB" w:eastAsia="x-none"/>
        </w:rPr>
        <w:t xml:space="preserve"> March</w:t>
      </w:r>
      <w:r w:rsidR="00895250" w:rsidRPr="001D7D28">
        <w:rPr>
          <w:rFonts w:ascii="Arial" w:eastAsia="MS Mincho" w:hAnsi="Arial"/>
          <w:b/>
          <w:sz w:val="24"/>
          <w:szCs w:val="24"/>
          <w:lang w:val="en-GB" w:eastAsia="x-none"/>
        </w:rPr>
        <w:t xml:space="preserve"> 201</w:t>
      </w:r>
      <w:r>
        <w:rPr>
          <w:rFonts w:ascii="Arial" w:eastAsia="MS Mincho" w:hAnsi="Arial"/>
          <w:b/>
          <w:sz w:val="24"/>
          <w:szCs w:val="24"/>
          <w:lang w:val="en-GB" w:eastAsia="x-none"/>
        </w:rPr>
        <w:t>9</w:t>
      </w:r>
    </w:p>
    <w:p w14:paraId="41F9B491" w14:textId="49EFE19E" w:rsidR="0097167E" w:rsidRPr="001D7D28"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1D7D28" w:rsidRDefault="00A07E02" w:rsidP="00A07E02">
      <w:pPr>
        <w:pStyle w:val="3GPPHeader"/>
        <w:rPr>
          <w:rFonts w:ascii="Arial" w:hAnsi="Arial" w:cs="Arial"/>
          <w:color w:val="FF0000"/>
          <w:szCs w:val="24"/>
          <w:lang w:eastAsia="zh-TW"/>
        </w:rPr>
      </w:pPr>
    </w:p>
    <w:p w14:paraId="027912C8" w14:textId="3D029AA0" w:rsidR="00A07E02" w:rsidRPr="001D7D28" w:rsidRDefault="00A07E02" w:rsidP="00A07E02">
      <w:pPr>
        <w:pStyle w:val="3GPPHeader"/>
        <w:rPr>
          <w:rFonts w:ascii="Arial" w:hAnsi="Arial" w:cs="Arial"/>
          <w:szCs w:val="24"/>
        </w:rPr>
      </w:pPr>
      <w:r w:rsidRPr="001D7D28">
        <w:rPr>
          <w:rFonts w:ascii="Arial" w:hAnsi="Arial" w:cs="Arial"/>
          <w:szCs w:val="24"/>
        </w:rPr>
        <w:t>Agenda Item:</w:t>
      </w:r>
      <w:r w:rsidRPr="001D7D28">
        <w:rPr>
          <w:rFonts w:ascii="Arial" w:hAnsi="Arial" w:cs="Arial"/>
          <w:szCs w:val="24"/>
        </w:rPr>
        <w:tab/>
      </w:r>
      <w:r w:rsidR="00F7572F">
        <w:rPr>
          <w:rFonts w:ascii="Arial" w:hAnsi="Arial" w:cs="Arial"/>
          <w:szCs w:val="24"/>
        </w:rPr>
        <w:t>11</w:t>
      </w:r>
      <w:r w:rsidR="00186F35" w:rsidRPr="001D7D28">
        <w:rPr>
          <w:rFonts w:ascii="Arial" w:hAnsi="Arial" w:cs="Arial"/>
          <w:szCs w:val="24"/>
        </w:rPr>
        <w:t>.</w:t>
      </w:r>
      <w:r w:rsidR="00F7572F">
        <w:rPr>
          <w:rFonts w:ascii="Arial" w:hAnsi="Arial" w:cs="Arial"/>
          <w:szCs w:val="24"/>
        </w:rPr>
        <w:t>4.3</w:t>
      </w:r>
    </w:p>
    <w:p w14:paraId="79D236BA" w14:textId="77777777" w:rsidR="00A07E02" w:rsidRPr="001D7D28" w:rsidRDefault="00A07E02" w:rsidP="00A07E02">
      <w:pPr>
        <w:pStyle w:val="3GPPHeader"/>
        <w:rPr>
          <w:rFonts w:ascii="Arial" w:hAnsi="Arial" w:cs="Arial"/>
          <w:szCs w:val="24"/>
        </w:rPr>
      </w:pPr>
      <w:r w:rsidRPr="001D7D28">
        <w:rPr>
          <w:rFonts w:ascii="Arial" w:hAnsi="Arial" w:cs="Arial"/>
          <w:szCs w:val="24"/>
        </w:rPr>
        <w:t xml:space="preserve">Source: </w:t>
      </w:r>
      <w:r w:rsidRPr="001D7D28">
        <w:rPr>
          <w:rFonts w:ascii="Arial" w:hAnsi="Arial" w:cs="Arial"/>
          <w:szCs w:val="24"/>
        </w:rPr>
        <w:tab/>
        <w:t>MediaTek Inc.</w:t>
      </w:r>
    </w:p>
    <w:p w14:paraId="108A86FF" w14:textId="48143387" w:rsidR="00A07E02" w:rsidRPr="001D7D28" w:rsidRDefault="00FF0668" w:rsidP="00A07E02">
      <w:pPr>
        <w:pStyle w:val="3GPPHeaderArial"/>
        <w:tabs>
          <w:tab w:val="left" w:pos="1701"/>
        </w:tabs>
        <w:rPr>
          <w:b/>
          <w:sz w:val="24"/>
          <w:lang w:val="en-GB" w:eastAsia="zh-TW"/>
        </w:rPr>
      </w:pPr>
      <w:r w:rsidRPr="001D7D28">
        <w:rPr>
          <w:b/>
          <w:sz w:val="24"/>
          <w:lang w:val="en-GB"/>
        </w:rPr>
        <w:t xml:space="preserve">Title:  </w:t>
      </w:r>
      <w:r w:rsidRPr="001D7D28">
        <w:rPr>
          <w:b/>
          <w:sz w:val="24"/>
          <w:lang w:val="en-GB"/>
        </w:rPr>
        <w:tab/>
      </w:r>
      <w:r w:rsidR="00CB2E37" w:rsidRPr="001D7D28">
        <w:rPr>
          <w:b/>
          <w:sz w:val="24"/>
          <w:lang w:val="en-GB"/>
        </w:rPr>
        <w:t>Inter-RAT control of sidelink communication</w:t>
      </w:r>
    </w:p>
    <w:p w14:paraId="2D698DC6" w14:textId="77777777" w:rsidR="00A07E02" w:rsidRPr="001D7D28" w:rsidRDefault="00A07E02" w:rsidP="00A07E02">
      <w:pPr>
        <w:pStyle w:val="3GPPHeaderArial"/>
        <w:tabs>
          <w:tab w:val="left" w:pos="1701"/>
        </w:tabs>
        <w:rPr>
          <w:b/>
          <w:sz w:val="24"/>
          <w:lang w:val="en-GB" w:eastAsia="zh-TW"/>
        </w:rPr>
      </w:pPr>
    </w:p>
    <w:p w14:paraId="4570B40E" w14:textId="77777777" w:rsidR="00A07E02" w:rsidRPr="001D7D28" w:rsidRDefault="00A07E02" w:rsidP="00A07E02">
      <w:pPr>
        <w:pStyle w:val="3GPPHeader"/>
        <w:rPr>
          <w:rFonts w:ascii="Arial" w:hAnsi="Arial" w:cs="Arial"/>
          <w:szCs w:val="24"/>
        </w:rPr>
      </w:pPr>
      <w:r w:rsidRPr="001D7D28">
        <w:rPr>
          <w:rFonts w:ascii="Arial" w:hAnsi="Arial" w:cs="Arial"/>
          <w:szCs w:val="24"/>
        </w:rPr>
        <w:t>Document for:</w:t>
      </w:r>
      <w:r w:rsidRPr="001D7D28">
        <w:rPr>
          <w:rFonts w:ascii="Arial" w:hAnsi="Arial" w:cs="Arial"/>
          <w:szCs w:val="24"/>
        </w:rPr>
        <w:tab/>
        <w:t>Discussion and decision</w:t>
      </w:r>
    </w:p>
    <w:p w14:paraId="0FB84FBC" w14:textId="77777777" w:rsidR="00A07E02" w:rsidRPr="001D7D28" w:rsidRDefault="00A07E02" w:rsidP="00A07E02">
      <w:pPr>
        <w:pStyle w:val="1"/>
        <w:overflowPunct w:val="0"/>
        <w:autoSpaceDE w:val="0"/>
        <w:autoSpaceDN w:val="0"/>
        <w:adjustRightInd w:val="0"/>
        <w:rPr>
          <w:rFonts w:eastAsia="新細明體" w:cs="Arial"/>
        </w:rPr>
      </w:pPr>
      <w:r w:rsidRPr="001D7D28">
        <w:rPr>
          <w:rFonts w:eastAsia="新細明體" w:cs="Arial"/>
        </w:rPr>
        <w:t>Introduction</w:t>
      </w:r>
      <w:bookmarkStart w:id="2" w:name="OLE_LINK39"/>
      <w:bookmarkStart w:id="3" w:name="OLE_LINK38"/>
      <w:bookmarkStart w:id="4" w:name="OLE_LINK37"/>
    </w:p>
    <w:p w14:paraId="54A8544A" w14:textId="0801856F" w:rsidR="00202DDC" w:rsidRPr="001D7D28" w:rsidRDefault="00166C76" w:rsidP="00820C96">
      <w:pPr>
        <w:spacing w:after="120"/>
        <w:jc w:val="both"/>
        <w:rPr>
          <w:rFonts w:ascii="Arial" w:hAnsi="Arial" w:cs="Arial"/>
          <w:sz w:val="20"/>
          <w:szCs w:val="20"/>
          <w:lang w:val="en-GB"/>
        </w:rPr>
      </w:pPr>
      <w:r w:rsidRPr="001D7D28">
        <w:rPr>
          <w:rFonts w:ascii="Arial" w:hAnsi="Arial" w:cs="Arial"/>
          <w:sz w:val="20"/>
          <w:szCs w:val="20"/>
          <w:lang w:val="en-GB"/>
        </w:rPr>
        <w:t>During RAN1#94bis</w:t>
      </w:r>
      <w:r w:rsidR="003A79D3">
        <w:rPr>
          <w:rFonts w:ascii="Arial" w:hAnsi="Arial" w:cs="Arial"/>
          <w:sz w:val="20"/>
          <w:szCs w:val="20"/>
          <w:lang w:val="en-GB"/>
        </w:rPr>
        <w:t xml:space="preserve"> and</w:t>
      </w:r>
      <w:r w:rsidR="0097385B" w:rsidRPr="0097385B">
        <w:t xml:space="preserve"> </w:t>
      </w:r>
      <w:r w:rsidR="0097385B" w:rsidRPr="0097385B">
        <w:rPr>
          <w:rFonts w:ascii="Arial" w:hAnsi="Arial" w:cs="Arial"/>
          <w:sz w:val="20"/>
          <w:szCs w:val="20"/>
          <w:lang w:val="en-GB"/>
        </w:rPr>
        <w:t>Ad-Hoc Meeting 1901</w:t>
      </w:r>
      <w:r w:rsidRPr="001D7D28">
        <w:rPr>
          <w:rFonts w:ascii="Arial" w:hAnsi="Arial" w:cs="Arial"/>
          <w:sz w:val="20"/>
          <w:szCs w:val="20"/>
          <w:lang w:val="en-GB"/>
        </w:rPr>
        <w:t>, the group reached some agreements related to the inter-RAT control of NR and LTE sidelink:</w:t>
      </w:r>
    </w:p>
    <w:p w14:paraId="398C5C1A" w14:textId="77777777" w:rsidR="00166C76" w:rsidRPr="001D7D28" w:rsidRDefault="00166C76" w:rsidP="00166C76">
      <w:pPr>
        <w:ind w:left="360"/>
        <w:rPr>
          <w:rFonts w:ascii="Times" w:eastAsia="MS PGothic" w:hAnsi="Times"/>
          <w:sz w:val="20"/>
          <w:szCs w:val="20"/>
          <w:highlight w:val="green"/>
          <w:lang w:val="en-GB" w:eastAsia="x-none"/>
        </w:rPr>
      </w:pPr>
      <w:r w:rsidRPr="001D7D28">
        <w:rPr>
          <w:highlight w:val="green"/>
          <w:lang w:val="en-GB" w:eastAsia="x-none"/>
        </w:rPr>
        <w:t>Agreements:</w:t>
      </w:r>
    </w:p>
    <w:p w14:paraId="58B61268" w14:textId="77777777" w:rsidR="00166C76" w:rsidRPr="001D7D28" w:rsidRDefault="00166C76" w:rsidP="00166C76">
      <w:pPr>
        <w:pStyle w:val="bullet1"/>
        <w:ind w:left="1080"/>
        <w:rPr>
          <w:lang w:val="en-GB"/>
        </w:rPr>
      </w:pPr>
      <w:r w:rsidRPr="001D7D28">
        <w:rPr>
          <w:lang w:val="en-GB"/>
        </w:rPr>
        <w:t>It is supported that LTE Uu provides at least necessary semi-static configuration for NR mode-2 SL communications</w:t>
      </w:r>
    </w:p>
    <w:p w14:paraId="5BED0C20" w14:textId="77777777" w:rsidR="00166C76" w:rsidRPr="001D7D28" w:rsidRDefault="00166C76" w:rsidP="00166C76">
      <w:pPr>
        <w:pStyle w:val="bullet2"/>
        <w:ind w:left="1800"/>
        <w:rPr>
          <w:lang w:val="en-GB"/>
        </w:rPr>
      </w:pPr>
      <w:r w:rsidRPr="001D7D28">
        <w:rPr>
          <w:lang w:val="en-GB"/>
        </w:rPr>
        <w:t>FFS details</w:t>
      </w:r>
    </w:p>
    <w:p w14:paraId="2FF71A7E" w14:textId="77777777" w:rsidR="00166C76" w:rsidRPr="001D7D28" w:rsidRDefault="00166C76" w:rsidP="00166C76">
      <w:pPr>
        <w:pStyle w:val="bullet1"/>
        <w:ind w:left="1080"/>
        <w:rPr>
          <w:lang w:val="en-GB"/>
        </w:rPr>
      </w:pPr>
      <w:r w:rsidRPr="001D7D28">
        <w:rPr>
          <w:lang w:val="en-GB"/>
        </w:rPr>
        <w:t>Further study impact and benefits of LTE Uu managing NR mode-1 SL communications</w:t>
      </w:r>
    </w:p>
    <w:p w14:paraId="35C018B5" w14:textId="77777777" w:rsidR="00166C76" w:rsidRPr="001D7D28" w:rsidRDefault="00166C76" w:rsidP="00166C76">
      <w:pPr>
        <w:ind w:left="360"/>
        <w:rPr>
          <w:lang w:val="en-GB" w:eastAsia="x-none"/>
        </w:rPr>
      </w:pPr>
      <w:r w:rsidRPr="001D7D28">
        <w:rPr>
          <w:highlight w:val="green"/>
          <w:lang w:val="en-GB" w:eastAsia="x-none"/>
        </w:rPr>
        <w:t>Agreements</w:t>
      </w:r>
      <w:r w:rsidRPr="001D7D28">
        <w:rPr>
          <w:lang w:val="en-GB" w:eastAsia="x-none"/>
        </w:rPr>
        <w:t>:</w:t>
      </w:r>
    </w:p>
    <w:p w14:paraId="2580B5CA" w14:textId="77777777" w:rsidR="00166C76" w:rsidRPr="001D7D28" w:rsidRDefault="00166C76" w:rsidP="00166C76">
      <w:pPr>
        <w:pStyle w:val="bullet1"/>
        <w:ind w:left="1080"/>
        <w:rPr>
          <w:lang w:val="en-GB"/>
        </w:rPr>
      </w:pPr>
      <w:r w:rsidRPr="001D7D28">
        <w:rPr>
          <w:lang w:val="en-GB"/>
        </w:rPr>
        <w:t>It is supported that NR Uu provides necessary semi-static configuration for mode-4 LTE SL communications</w:t>
      </w:r>
    </w:p>
    <w:p w14:paraId="55CADEA6" w14:textId="77777777" w:rsidR="00166C76" w:rsidRPr="001D7D28" w:rsidRDefault="00166C76" w:rsidP="00166C76">
      <w:pPr>
        <w:pStyle w:val="bullet2"/>
        <w:ind w:left="1800"/>
        <w:rPr>
          <w:lang w:val="en-GB"/>
        </w:rPr>
      </w:pPr>
      <w:r w:rsidRPr="001D7D28">
        <w:rPr>
          <w:lang w:val="en-GB"/>
        </w:rPr>
        <w:t>From RAN1 perspective, signalling should be similar to LTE in terms of UE-specific or cell-specific</w:t>
      </w:r>
    </w:p>
    <w:p w14:paraId="62CC5F18" w14:textId="77777777" w:rsidR="00166C76" w:rsidRPr="001D7D28" w:rsidRDefault="00166C76" w:rsidP="00166C76">
      <w:pPr>
        <w:pStyle w:val="bullet2"/>
        <w:ind w:left="1800"/>
        <w:rPr>
          <w:lang w:val="en-GB"/>
        </w:rPr>
      </w:pPr>
      <w:r w:rsidRPr="001D7D28">
        <w:rPr>
          <w:lang w:val="en-GB"/>
        </w:rPr>
        <w:t>Signalling details up to RAN2</w:t>
      </w:r>
    </w:p>
    <w:p w14:paraId="5568FEEC" w14:textId="77777777" w:rsidR="00166C76" w:rsidRPr="001D7D28" w:rsidRDefault="00166C76" w:rsidP="00166C76">
      <w:pPr>
        <w:pStyle w:val="bullet1"/>
        <w:ind w:left="1080"/>
        <w:rPr>
          <w:lang w:val="en-GB"/>
        </w:rPr>
      </w:pPr>
      <w:r w:rsidRPr="001D7D28">
        <w:rPr>
          <w:lang w:val="en-GB"/>
        </w:rPr>
        <w:t xml:space="preserve">Further study feasibility, benefits (others than ones already identified for LTE) and impact of NR Uu managing LTE mode-3 SL communications. </w:t>
      </w:r>
    </w:p>
    <w:p w14:paraId="38089075" w14:textId="77777777" w:rsidR="00166C76" w:rsidRPr="001D7D28" w:rsidRDefault="00166C76" w:rsidP="00166C76">
      <w:pPr>
        <w:pStyle w:val="bullet1"/>
        <w:numPr>
          <w:ilvl w:val="0"/>
          <w:numId w:val="0"/>
        </w:numPr>
        <w:ind w:left="360"/>
        <w:rPr>
          <w:lang w:val="en-GB"/>
        </w:rPr>
      </w:pPr>
    </w:p>
    <w:p w14:paraId="3B9AA17C" w14:textId="77777777" w:rsidR="00166C76" w:rsidRPr="001D7D28" w:rsidRDefault="00166C76" w:rsidP="00166C76">
      <w:pPr>
        <w:ind w:left="360"/>
        <w:rPr>
          <w:lang w:val="en-GB" w:eastAsia="x-none"/>
        </w:rPr>
      </w:pPr>
      <w:r w:rsidRPr="001D7D28">
        <w:rPr>
          <w:b/>
          <w:bCs/>
          <w:u w:val="single"/>
          <w:lang w:val="en-GB" w:eastAsia="x-none"/>
        </w:rPr>
        <w:t>Conclusion</w:t>
      </w:r>
      <w:r w:rsidRPr="001D7D28">
        <w:rPr>
          <w:lang w:val="en-GB" w:eastAsia="x-none"/>
        </w:rPr>
        <w:t>:</w:t>
      </w:r>
    </w:p>
    <w:p w14:paraId="3631E8BD" w14:textId="77777777" w:rsidR="00166C76" w:rsidRPr="001D7D28" w:rsidRDefault="00166C76" w:rsidP="00166C76">
      <w:pPr>
        <w:pStyle w:val="bullet1"/>
        <w:numPr>
          <w:ilvl w:val="0"/>
          <w:numId w:val="18"/>
        </w:numPr>
        <w:ind w:left="720"/>
        <w:rPr>
          <w:lang w:val="en-GB"/>
        </w:rPr>
      </w:pPr>
      <w:r w:rsidRPr="001D7D28">
        <w:rPr>
          <w:lang w:val="en-GB"/>
        </w:rPr>
        <w:t>Send LS to RAN2 informing them the above two agreements:</w:t>
      </w:r>
    </w:p>
    <w:p w14:paraId="33BA7A92" w14:textId="77777777" w:rsidR="00166C76" w:rsidRPr="001D7D28" w:rsidRDefault="00166C76" w:rsidP="00166C76">
      <w:pPr>
        <w:pStyle w:val="bullet1"/>
        <w:numPr>
          <w:ilvl w:val="1"/>
          <w:numId w:val="18"/>
        </w:numPr>
        <w:ind w:left="1440"/>
        <w:rPr>
          <w:lang w:val="en-GB"/>
        </w:rPr>
      </w:pPr>
      <w:r w:rsidRPr="001D7D28">
        <w:rPr>
          <w:lang w:val="en-GB"/>
        </w:rPr>
        <w:t>For the 2</w:t>
      </w:r>
      <w:r w:rsidRPr="001D7D28">
        <w:rPr>
          <w:vertAlign w:val="superscript"/>
          <w:lang w:val="en-GB"/>
        </w:rPr>
        <w:t>nd</w:t>
      </w:r>
      <w:r w:rsidRPr="001D7D28">
        <w:rPr>
          <w:lang w:val="en-GB"/>
        </w:rPr>
        <w:t xml:space="preserve"> agreements, ask RAN2 to work on signalling</w:t>
      </w:r>
    </w:p>
    <w:p w14:paraId="13FCF9B3" w14:textId="77777777" w:rsidR="00166C76" w:rsidRPr="001D7D28" w:rsidRDefault="00166C76" w:rsidP="00166C76">
      <w:pPr>
        <w:pStyle w:val="bullet1"/>
        <w:numPr>
          <w:ilvl w:val="1"/>
          <w:numId w:val="18"/>
        </w:numPr>
        <w:ind w:left="1440"/>
        <w:rPr>
          <w:lang w:val="en-GB"/>
        </w:rPr>
      </w:pPr>
      <w:r w:rsidRPr="001D7D28">
        <w:rPr>
          <w:lang w:val="en-GB"/>
        </w:rPr>
        <w:t>For the 1</w:t>
      </w:r>
      <w:r w:rsidRPr="001D7D28">
        <w:rPr>
          <w:vertAlign w:val="superscript"/>
          <w:lang w:val="en-GB"/>
        </w:rPr>
        <w:t>st</w:t>
      </w:r>
      <w:r w:rsidRPr="001D7D28">
        <w:rPr>
          <w:lang w:val="en-GB"/>
        </w:rPr>
        <w:t xml:space="preserve"> agreements, RAN1 is continuing working on identifying necessary details, including parameters</w:t>
      </w:r>
    </w:p>
    <w:p w14:paraId="6B040684" w14:textId="77777777" w:rsidR="00166C76" w:rsidRPr="001D7D28" w:rsidRDefault="00166C76" w:rsidP="00166C76">
      <w:pPr>
        <w:pStyle w:val="bullet1"/>
        <w:numPr>
          <w:ilvl w:val="0"/>
          <w:numId w:val="18"/>
        </w:numPr>
        <w:ind w:left="720"/>
        <w:rPr>
          <w:lang w:val="en-GB"/>
        </w:rPr>
      </w:pPr>
      <w:r w:rsidRPr="001D7D28">
        <w:rPr>
          <w:lang w:val="en-GB"/>
        </w:rPr>
        <w:t xml:space="preserve">Draft LS in </w:t>
      </w:r>
      <w:r w:rsidRPr="001D7D28">
        <w:rPr>
          <w:b/>
          <w:bCs/>
          <w:lang w:val="en-GB"/>
        </w:rPr>
        <w:t>R1-1812005</w:t>
      </w:r>
      <w:r w:rsidRPr="001D7D28">
        <w:rPr>
          <w:lang w:val="en-GB"/>
        </w:rPr>
        <w:t xml:space="preserve"> (Phillippe, Huawei), which is </w:t>
      </w:r>
      <w:r w:rsidRPr="001D7D28">
        <w:rPr>
          <w:highlight w:val="green"/>
          <w:lang w:val="en-GB"/>
        </w:rPr>
        <w:t xml:space="preserve">approved </w:t>
      </w:r>
      <w:r w:rsidRPr="001D7D28">
        <w:rPr>
          <w:lang w:val="en-GB"/>
        </w:rPr>
        <w:t xml:space="preserve">and final LS in </w:t>
      </w:r>
      <w:r w:rsidRPr="001D7D28">
        <w:rPr>
          <w:highlight w:val="green"/>
          <w:lang w:val="en-GB"/>
        </w:rPr>
        <w:t>R1-1812057</w:t>
      </w:r>
    </w:p>
    <w:p w14:paraId="147AE287" w14:textId="77777777" w:rsidR="00166C76" w:rsidRPr="001D7D28" w:rsidRDefault="00166C76" w:rsidP="00166C76">
      <w:pPr>
        <w:pStyle w:val="bullet1"/>
        <w:numPr>
          <w:ilvl w:val="0"/>
          <w:numId w:val="0"/>
        </w:numPr>
        <w:rPr>
          <w:lang w:val="en-GB"/>
        </w:rPr>
      </w:pPr>
    </w:p>
    <w:p w14:paraId="256F5229" w14:textId="77777777" w:rsidR="00947A28" w:rsidRPr="00965044" w:rsidRDefault="00947A28" w:rsidP="00947A28">
      <w:pPr>
        <w:ind w:firstLine="360"/>
        <w:rPr>
          <w:szCs w:val="20"/>
          <w:lang w:eastAsia="x-none"/>
        </w:rPr>
      </w:pPr>
      <w:r w:rsidRPr="00965044">
        <w:rPr>
          <w:szCs w:val="20"/>
          <w:highlight w:val="green"/>
          <w:lang w:eastAsia="x-none"/>
        </w:rPr>
        <w:t>Agreements</w:t>
      </w:r>
      <w:r w:rsidRPr="00965044">
        <w:rPr>
          <w:szCs w:val="20"/>
          <w:lang w:eastAsia="x-none"/>
        </w:rPr>
        <w:t>:</w:t>
      </w:r>
    </w:p>
    <w:p w14:paraId="3AAFA598" w14:textId="77777777" w:rsidR="00947A28" w:rsidRPr="00965044" w:rsidRDefault="00947A28" w:rsidP="00947A28">
      <w:pPr>
        <w:pStyle w:val="afb"/>
        <w:numPr>
          <w:ilvl w:val="0"/>
          <w:numId w:val="19"/>
        </w:numPr>
        <w:overflowPunct/>
        <w:autoSpaceDE/>
        <w:autoSpaceDN/>
        <w:adjustRightInd/>
        <w:spacing w:after="160" w:line="259" w:lineRule="auto"/>
        <w:textAlignment w:val="auto"/>
      </w:pPr>
      <w:r w:rsidRPr="00965044">
        <w:t xml:space="preserve">LTE Uu to schedule NR sidelink mode 1 is supported: </w:t>
      </w:r>
    </w:p>
    <w:p w14:paraId="7F70829E" w14:textId="77777777" w:rsidR="00947A28" w:rsidRPr="00965044" w:rsidRDefault="00947A28" w:rsidP="00947A28">
      <w:pPr>
        <w:pStyle w:val="afb"/>
        <w:numPr>
          <w:ilvl w:val="1"/>
          <w:numId w:val="19"/>
        </w:numPr>
        <w:overflowPunct/>
        <w:autoSpaceDE/>
        <w:autoSpaceDN/>
        <w:adjustRightInd/>
        <w:spacing w:after="160" w:line="259" w:lineRule="auto"/>
        <w:textAlignment w:val="auto"/>
      </w:pPr>
      <w:r w:rsidRPr="00965044">
        <w:t>The support is done based on type 1 configured grant with configuration restricted to time/frequency resources &amp; periodicity, with the condition that no additional function/procedure is to be introduced for LTE Uu</w:t>
      </w:r>
    </w:p>
    <w:p w14:paraId="1A4FF5C4" w14:textId="77777777" w:rsidR="00947A28" w:rsidRPr="00965044" w:rsidRDefault="00947A28" w:rsidP="00947A28">
      <w:pPr>
        <w:pStyle w:val="afb"/>
        <w:numPr>
          <w:ilvl w:val="1"/>
          <w:numId w:val="19"/>
        </w:numPr>
        <w:overflowPunct/>
        <w:autoSpaceDE/>
        <w:autoSpaceDN/>
        <w:adjustRightInd/>
        <w:spacing w:after="160" w:line="259" w:lineRule="auto"/>
        <w:textAlignment w:val="auto"/>
      </w:pPr>
      <w:r w:rsidRPr="00965044">
        <w:t>Both DCI based scheduling and type 2 configured grant scheduling are not supported for scheduling NR sidelink mode 1</w:t>
      </w:r>
    </w:p>
    <w:p w14:paraId="0894182E" w14:textId="77777777" w:rsidR="00947A28" w:rsidRPr="001B6E39" w:rsidRDefault="00947A28" w:rsidP="00947A28">
      <w:pPr>
        <w:pStyle w:val="afb"/>
        <w:numPr>
          <w:ilvl w:val="0"/>
          <w:numId w:val="19"/>
        </w:numPr>
        <w:overflowPunct/>
        <w:autoSpaceDE/>
        <w:autoSpaceDN/>
        <w:adjustRightInd/>
        <w:spacing w:after="160" w:line="259" w:lineRule="auto"/>
        <w:textAlignment w:val="auto"/>
      </w:pPr>
      <w:r w:rsidRPr="00965044">
        <w:t xml:space="preserve">Send an LS to RAN2 – Phillipe (HW), </w:t>
      </w:r>
      <w:r w:rsidRPr="001B6E39">
        <w:rPr>
          <w:b/>
        </w:rPr>
        <w:t>R1-1901410</w:t>
      </w:r>
      <w:r>
        <w:rPr>
          <w:b/>
        </w:rPr>
        <w:t xml:space="preserve">, </w:t>
      </w:r>
      <w:r w:rsidRPr="001B6E39">
        <w:t xml:space="preserve">which is approved with the final LS in </w:t>
      </w:r>
      <w:r w:rsidRPr="001B6E39">
        <w:rPr>
          <w:highlight w:val="green"/>
        </w:rPr>
        <w:t>R1-1901445</w:t>
      </w:r>
    </w:p>
    <w:p w14:paraId="4009CA44" w14:textId="49511029" w:rsidR="00166C76" w:rsidRPr="001D7D28" w:rsidRDefault="00166C76" w:rsidP="00820C96">
      <w:pPr>
        <w:spacing w:after="120"/>
        <w:jc w:val="both"/>
        <w:rPr>
          <w:rFonts w:ascii="Arial" w:hAnsi="Arial" w:cs="Arial"/>
          <w:sz w:val="20"/>
          <w:szCs w:val="20"/>
          <w:lang w:val="en-GB"/>
        </w:rPr>
      </w:pPr>
      <w:r w:rsidRPr="001D7D28">
        <w:rPr>
          <w:rFonts w:ascii="Arial" w:hAnsi="Arial" w:cs="Arial"/>
          <w:sz w:val="20"/>
          <w:szCs w:val="20"/>
          <w:lang w:val="en-GB"/>
        </w:rPr>
        <w:t>This document considers these agreements and their consequences from a RAN2 perspective.</w:t>
      </w:r>
    </w:p>
    <w:p w14:paraId="2D9A0F46" w14:textId="721FCEAD" w:rsidR="00202DDC" w:rsidRPr="001D7D28" w:rsidRDefault="00202DDC" w:rsidP="00202DDC">
      <w:pPr>
        <w:pStyle w:val="1"/>
        <w:overflowPunct w:val="0"/>
        <w:autoSpaceDE w:val="0"/>
        <w:autoSpaceDN w:val="0"/>
        <w:adjustRightInd w:val="0"/>
        <w:rPr>
          <w:rFonts w:eastAsia="新細明體" w:cs="Arial"/>
        </w:rPr>
      </w:pPr>
      <w:bookmarkStart w:id="5" w:name="OLE_LINK41"/>
      <w:bookmarkStart w:id="6" w:name="OLE_LINK24"/>
      <w:bookmarkStart w:id="7" w:name="OLE_LINK17"/>
      <w:bookmarkStart w:id="8" w:name="OLE_LINK16"/>
      <w:bookmarkEnd w:id="2"/>
      <w:bookmarkEnd w:id="3"/>
      <w:bookmarkEnd w:id="4"/>
      <w:r w:rsidRPr="001D7D28">
        <w:rPr>
          <w:rFonts w:eastAsia="新細明體" w:cs="Arial"/>
        </w:rPr>
        <w:lastRenderedPageBreak/>
        <w:t>Discussion</w:t>
      </w:r>
    </w:p>
    <w:p w14:paraId="028D8916" w14:textId="0AD0D5B4" w:rsidR="001D7D28" w:rsidRDefault="001D7D28" w:rsidP="001D7D28">
      <w:pPr>
        <w:pStyle w:val="2"/>
      </w:pPr>
      <w:r>
        <w:t>Mode 2 and mode 4</w:t>
      </w:r>
    </w:p>
    <w:p w14:paraId="36026E2E" w14:textId="3AF85F28" w:rsidR="00260B9E" w:rsidRPr="001D7D28" w:rsidRDefault="00166C76" w:rsidP="00101011">
      <w:pPr>
        <w:spacing w:after="240"/>
        <w:rPr>
          <w:lang w:val="en-GB" w:eastAsia="en-US"/>
        </w:rPr>
      </w:pPr>
      <w:r w:rsidRPr="001D7D28">
        <w:rPr>
          <w:lang w:val="en-GB" w:eastAsia="en-US"/>
        </w:rPr>
        <w:t>Based on the RAN1 agreements, RAN2 will need to define signalling for the cross-RAT support of mode 2 (NR)</w:t>
      </w:r>
      <w:r w:rsidR="002F1325">
        <w:rPr>
          <w:lang w:val="en-GB" w:eastAsia="en-US"/>
        </w:rPr>
        <w:t xml:space="preserve"> and mode 4 (LTE) communication</w:t>
      </w:r>
      <w:r w:rsidRPr="001D7D28">
        <w:rPr>
          <w:lang w:val="en-GB" w:eastAsia="en-US"/>
        </w:rPr>
        <w:t>.  While the necessary parameters for control of NR sidelink are still under discussion, RAN1 indicated that the parameters for LTE sidelink control in NR should be similar to those in LTE, and RAN2 can start to consider the related signalling.</w:t>
      </w:r>
    </w:p>
    <w:p w14:paraId="11DB34B4" w14:textId="270319DB" w:rsidR="00AA638C" w:rsidRPr="001D7D28" w:rsidRDefault="00166C76" w:rsidP="00101011">
      <w:pPr>
        <w:spacing w:after="240"/>
        <w:rPr>
          <w:lang w:val="en-GB" w:eastAsia="en-US"/>
        </w:rPr>
      </w:pPr>
      <w:r w:rsidRPr="001D7D28">
        <w:rPr>
          <w:lang w:val="en-GB" w:eastAsia="en-US"/>
        </w:rPr>
        <w:t xml:space="preserve">RAN1 requested both UE-specific and cell-specific support, similar to the inclusion in LTE of </w:t>
      </w:r>
      <w:r w:rsidRPr="001D7D28">
        <w:rPr>
          <w:i/>
          <w:lang w:val="en-GB" w:eastAsia="en-US"/>
        </w:rPr>
        <w:t>sl-V2X-ConfigDedicated</w:t>
      </w:r>
      <w:r w:rsidRPr="001D7D28">
        <w:rPr>
          <w:lang w:val="en-GB" w:eastAsia="en-US"/>
        </w:rPr>
        <w:t xml:space="preserve"> in the RRCConnectionReconfiguration message and the cell-specific information in SIB21.  This should be straightforward to match in the NR environment with signalling in the RRCReconfiguration message and an LTE-V2X SIB.</w:t>
      </w:r>
    </w:p>
    <w:p w14:paraId="3B307D63" w14:textId="1A1AE4A5" w:rsidR="00AA638C" w:rsidRPr="001D7D28" w:rsidRDefault="00AA638C" w:rsidP="00101011">
      <w:pPr>
        <w:spacing w:after="240"/>
        <w:rPr>
          <w:lang w:val="en-GB" w:eastAsia="en-US"/>
        </w:rPr>
      </w:pPr>
      <w:r w:rsidRPr="001D7D28">
        <w:rPr>
          <w:lang w:val="en-GB" w:eastAsia="en-US"/>
        </w:rPr>
        <w:t xml:space="preserve">The dedicated signalling for the requested mode 4 support does not fully duplicate what is there in LTE; rather, the needed signalling would be similar to the existing </w:t>
      </w:r>
      <w:r w:rsidRPr="001D7D28">
        <w:rPr>
          <w:i/>
          <w:lang w:val="en-GB" w:eastAsia="en-US"/>
        </w:rPr>
        <w:t xml:space="preserve">ue-Selected </w:t>
      </w:r>
      <w:r w:rsidRPr="001D7D28">
        <w:rPr>
          <w:lang w:val="en-GB" w:eastAsia="en-US"/>
        </w:rPr>
        <w:t xml:space="preserve">branch and the general configurations in </w:t>
      </w:r>
      <w:r w:rsidRPr="001D7D28">
        <w:rPr>
          <w:i/>
          <w:lang w:val="en-GB" w:eastAsia="en-US"/>
        </w:rPr>
        <w:t>SL-V2X-ConfigDedicated</w:t>
      </w:r>
      <w:r w:rsidRPr="001D7D28">
        <w:rPr>
          <w:lang w:val="en-GB" w:eastAsia="en-US"/>
        </w:rPr>
        <w:t xml:space="preserve">.  The actual description of a resource pool need not change; probably </w:t>
      </w:r>
      <w:r w:rsidRPr="001D7D28">
        <w:rPr>
          <w:i/>
          <w:lang w:val="en-GB" w:eastAsia="en-US"/>
        </w:rPr>
        <w:t>SL-CommResourcePoolV2X</w:t>
      </w:r>
      <w:r w:rsidRPr="001D7D28">
        <w:rPr>
          <w:lang w:val="en-GB" w:eastAsia="en-US"/>
        </w:rPr>
        <w:t xml:space="preserve"> can be imported into the NR ASN.1 as it is, although the details would need to be determined in the WI phase.</w:t>
      </w:r>
    </w:p>
    <w:p w14:paraId="765055D0" w14:textId="4D2C0E78" w:rsidR="00166C76" w:rsidRPr="001D7D28" w:rsidRDefault="00166C76" w:rsidP="00101011">
      <w:pPr>
        <w:spacing w:after="240"/>
        <w:rPr>
          <w:lang w:val="en-GB"/>
        </w:rPr>
      </w:pPr>
      <w:r w:rsidRPr="001D7D28">
        <w:rPr>
          <w:b/>
          <w:lang w:val="en-GB" w:eastAsia="en-US"/>
        </w:rPr>
        <w:t>Proposal 1:</w:t>
      </w:r>
      <w:r w:rsidRPr="001D7D28">
        <w:rPr>
          <w:lang w:val="en-GB"/>
        </w:rPr>
        <w:t xml:space="preserve"> RAN2 confirms the feasibility of </w:t>
      </w:r>
      <w:r w:rsidR="00AA638C" w:rsidRPr="001D7D28">
        <w:rPr>
          <w:lang w:val="en-GB"/>
        </w:rPr>
        <w:t>signalling</w:t>
      </w:r>
      <w:r w:rsidRPr="001D7D28">
        <w:rPr>
          <w:lang w:val="en-GB"/>
        </w:rPr>
        <w:t xml:space="preserve"> UE-specific LTE-V2X configuration </w:t>
      </w:r>
      <w:r w:rsidR="00AA638C" w:rsidRPr="001D7D28">
        <w:rPr>
          <w:lang w:val="en-GB"/>
        </w:rPr>
        <w:t xml:space="preserve">for mode 4 </w:t>
      </w:r>
      <w:r w:rsidRPr="001D7D28">
        <w:rPr>
          <w:lang w:val="en-GB"/>
        </w:rPr>
        <w:t>in dedicated NR RRC signalling (e.g. RRCReconfiguration).</w:t>
      </w:r>
    </w:p>
    <w:p w14:paraId="3D03B1F0" w14:textId="0F602824" w:rsidR="00AA638C" w:rsidRPr="001D7D28" w:rsidRDefault="00AA638C" w:rsidP="00101011">
      <w:pPr>
        <w:spacing w:after="240"/>
        <w:rPr>
          <w:b/>
          <w:lang w:val="en-GB"/>
        </w:rPr>
      </w:pPr>
      <w:r w:rsidRPr="001D7D28">
        <w:rPr>
          <w:lang w:val="en-GB" w:eastAsia="en-US"/>
        </w:rPr>
        <w:t>Similarly, the signalling for cell-specific V2X support can closely follow the LTE model, nearly or entirely duplicating the content of LTE SIB21.</w:t>
      </w:r>
    </w:p>
    <w:p w14:paraId="7E277ED5" w14:textId="7BB35346" w:rsidR="00166C76" w:rsidRPr="001D7D28" w:rsidRDefault="00166C76" w:rsidP="00101011">
      <w:pPr>
        <w:spacing w:after="240"/>
        <w:rPr>
          <w:lang w:val="en-GB"/>
        </w:rPr>
      </w:pPr>
      <w:r w:rsidRPr="001D7D28">
        <w:rPr>
          <w:b/>
          <w:lang w:val="en-GB"/>
        </w:rPr>
        <w:t>Proposal 2:</w:t>
      </w:r>
      <w:r w:rsidRPr="001D7D28">
        <w:rPr>
          <w:lang w:val="en-GB"/>
        </w:rPr>
        <w:t xml:space="preserve"> RAN2 confirms the feasibility of </w:t>
      </w:r>
      <w:r w:rsidR="00AA638C" w:rsidRPr="001D7D28">
        <w:rPr>
          <w:lang w:val="en-GB"/>
        </w:rPr>
        <w:t>signalling</w:t>
      </w:r>
      <w:r w:rsidRPr="001D7D28">
        <w:rPr>
          <w:lang w:val="en-GB"/>
        </w:rPr>
        <w:t xml:space="preserve"> cell-specific LTE-V2X configuration </w:t>
      </w:r>
      <w:r w:rsidR="00AA638C" w:rsidRPr="001D7D28">
        <w:rPr>
          <w:lang w:val="en-GB"/>
        </w:rPr>
        <w:t xml:space="preserve">for mode 4 </w:t>
      </w:r>
      <w:r w:rsidRPr="001D7D28">
        <w:rPr>
          <w:lang w:val="en-GB"/>
        </w:rPr>
        <w:t>in broadcast NR RRC signalling (e.g. a new LTE-V2X SIB).</w:t>
      </w:r>
    </w:p>
    <w:p w14:paraId="46313065" w14:textId="5518A1E6" w:rsidR="00AA638C" w:rsidRDefault="00AA638C" w:rsidP="00101011">
      <w:pPr>
        <w:spacing w:after="240"/>
        <w:rPr>
          <w:lang w:val="en-GB"/>
        </w:rPr>
      </w:pPr>
      <w:r w:rsidRPr="001D7D28">
        <w:rPr>
          <w:lang w:val="en-GB"/>
        </w:rPr>
        <w:t>Note that these proposals suggest a significant migration of LTE ASN.1 code into the NR RRC specification.  However, it would also be possible to avoid code duplication by incorporating the LTE IEs as OCTET STRINGs rather than copying their definitions and all the other IEs on which they depend.</w:t>
      </w:r>
    </w:p>
    <w:p w14:paraId="58CE6AC1" w14:textId="0EBF8C9F" w:rsidR="001D7D28" w:rsidRDefault="001D7D28" w:rsidP="00101011">
      <w:pPr>
        <w:spacing w:after="240"/>
        <w:rPr>
          <w:lang w:val="en-GB"/>
        </w:rPr>
      </w:pPr>
      <w:r>
        <w:rPr>
          <w:b/>
          <w:lang w:val="en-GB"/>
        </w:rPr>
        <w:t>Proposal 3:</w:t>
      </w:r>
      <w:r>
        <w:rPr>
          <w:lang w:val="en-GB"/>
        </w:rPr>
        <w:t xml:space="preserve"> Unless issues are identified, plan to capture the LTE V2X IEs as OCTET STRINGs in the NR ASN.1.</w:t>
      </w:r>
    </w:p>
    <w:p w14:paraId="176B699E" w14:textId="640C5769" w:rsidR="001D7D28" w:rsidRDefault="00AF224E" w:rsidP="001D7D28">
      <w:pPr>
        <w:pStyle w:val="2"/>
      </w:pPr>
      <w:r>
        <w:t>Mode 1</w:t>
      </w:r>
    </w:p>
    <w:p w14:paraId="1281BC8B" w14:textId="77777777" w:rsidR="00A74798" w:rsidRDefault="001D7D28" w:rsidP="00101011">
      <w:pPr>
        <w:spacing w:after="240"/>
        <w:rPr>
          <w:lang w:val="en-GB"/>
        </w:rPr>
      </w:pPr>
      <w:r>
        <w:rPr>
          <w:lang w:val="en-GB"/>
        </w:rPr>
        <w:t>For mode 1 and mode 3, RAN1 conclude</w:t>
      </w:r>
      <w:r w:rsidR="006362F0">
        <w:rPr>
          <w:lang w:val="en-GB"/>
        </w:rPr>
        <w:t>s that</w:t>
      </w:r>
      <w:r>
        <w:rPr>
          <w:lang w:val="en-GB"/>
        </w:rPr>
        <w:t xml:space="preserve"> </w:t>
      </w:r>
      <w:r w:rsidR="006362F0" w:rsidRPr="006362F0">
        <w:rPr>
          <w:lang w:val="en-GB"/>
        </w:rPr>
        <w:t>LTE Uu to schedule NR sidelink mode 1 is supported</w:t>
      </w:r>
      <w:r w:rsidR="006362F0">
        <w:rPr>
          <w:lang w:val="en-GB"/>
        </w:rPr>
        <w:t xml:space="preserve"> with </w:t>
      </w:r>
      <w:r w:rsidR="006362F0" w:rsidRPr="006362F0">
        <w:rPr>
          <w:lang w:val="en-GB"/>
        </w:rPr>
        <w:t>type 1 configured grant</w:t>
      </w:r>
      <w:r w:rsidR="00A74798">
        <w:rPr>
          <w:lang w:val="en-GB"/>
        </w:rPr>
        <w:t xml:space="preserve"> only. </w:t>
      </w:r>
      <w:r w:rsidR="00A74798" w:rsidRPr="00A74798">
        <w:rPr>
          <w:lang w:val="en-GB"/>
        </w:rPr>
        <w:t>DCI based scheduling and type 2 configured grant scheduling are not supported for scheduling NR sidelink mode 1</w:t>
      </w:r>
      <w:r w:rsidR="00A74798">
        <w:rPr>
          <w:lang w:val="en-GB"/>
        </w:rPr>
        <w:t xml:space="preserve">, the reason is to reduce the spec </w:t>
      </w:r>
      <w:r w:rsidR="00A74798" w:rsidRPr="00A74798">
        <w:rPr>
          <w:lang w:val="en-GB"/>
        </w:rPr>
        <w:t>complexity</w:t>
      </w:r>
      <w:r w:rsidR="00A74798">
        <w:rPr>
          <w:lang w:val="en-GB"/>
        </w:rPr>
        <w:t>.</w:t>
      </w:r>
    </w:p>
    <w:p w14:paraId="5ECC3008" w14:textId="550F2BB5" w:rsidR="001D7D28" w:rsidRDefault="001D7D28" w:rsidP="00101011">
      <w:pPr>
        <w:spacing w:after="240"/>
        <w:rPr>
          <w:lang w:val="en-GB"/>
        </w:rPr>
      </w:pPr>
      <w:r>
        <w:rPr>
          <w:lang w:val="en-GB"/>
        </w:rPr>
        <w:t xml:space="preserve">From the RAN2 perspective, </w:t>
      </w:r>
      <w:r w:rsidR="006362F0">
        <w:rPr>
          <w:lang w:val="en-GB"/>
        </w:rPr>
        <w:t>LTE Uu to schedule NR sidelink mode 1 can be support the same manner as mode 2 and mode 4.</w:t>
      </w:r>
      <w:r w:rsidR="00AF224E">
        <w:rPr>
          <w:lang w:val="en-GB"/>
        </w:rPr>
        <w:t xml:space="preserve"> Due to the detail NR V2X IE is not finalized yet, the detail can left to WI phase.</w:t>
      </w:r>
    </w:p>
    <w:p w14:paraId="0652C9F1" w14:textId="4A3B7011" w:rsidR="001D7D28" w:rsidRPr="001D7D28" w:rsidRDefault="006362F0" w:rsidP="00101011">
      <w:pPr>
        <w:spacing w:after="240"/>
        <w:rPr>
          <w:lang w:val="en-GB"/>
        </w:rPr>
      </w:pPr>
      <w:r w:rsidRPr="006362F0">
        <w:rPr>
          <w:b/>
          <w:lang w:val="en-GB"/>
        </w:rPr>
        <w:t xml:space="preserve">Proposal </w:t>
      </w:r>
      <w:r>
        <w:rPr>
          <w:b/>
          <w:lang w:val="en-GB"/>
        </w:rPr>
        <w:t>4</w:t>
      </w:r>
      <w:r w:rsidRPr="006362F0">
        <w:rPr>
          <w:b/>
          <w:lang w:val="en-GB"/>
        </w:rPr>
        <w:t xml:space="preserve">: </w:t>
      </w:r>
      <w:r w:rsidR="00AF224E">
        <w:rPr>
          <w:b/>
          <w:lang w:val="en-GB"/>
        </w:rPr>
        <w:t>The</w:t>
      </w:r>
      <w:r w:rsidRPr="006362F0">
        <w:rPr>
          <w:b/>
          <w:lang w:val="en-GB"/>
        </w:rPr>
        <w:t xml:space="preserve"> </w:t>
      </w:r>
      <w:r>
        <w:rPr>
          <w:b/>
          <w:lang w:val="en-GB"/>
        </w:rPr>
        <w:t>NR</w:t>
      </w:r>
      <w:r w:rsidRPr="006362F0">
        <w:rPr>
          <w:b/>
          <w:lang w:val="en-GB"/>
        </w:rPr>
        <w:t xml:space="preserve"> V2X IEs </w:t>
      </w:r>
      <w:r w:rsidR="00AF224E">
        <w:rPr>
          <w:b/>
          <w:lang w:val="en-GB"/>
        </w:rPr>
        <w:t xml:space="preserve">can be included </w:t>
      </w:r>
      <w:r w:rsidRPr="006362F0">
        <w:rPr>
          <w:b/>
          <w:lang w:val="en-GB"/>
        </w:rPr>
        <w:t xml:space="preserve">as OCTET STRINGs in the </w:t>
      </w:r>
      <w:r>
        <w:rPr>
          <w:b/>
          <w:lang w:val="en-GB"/>
        </w:rPr>
        <w:t>LTE</w:t>
      </w:r>
      <w:r w:rsidRPr="006362F0">
        <w:rPr>
          <w:b/>
          <w:lang w:val="en-GB"/>
        </w:rPr>
        <w:t xml:space="preserve"> ASN.1</w:t>
      </w:r>
      <w:r w:rsidR="00AF224E">
        <w:rPr>
          <w:b/>
          <w:lang w:val="en-GB"/>
        </w:rPr>
        <w:t xml:space="preserve"> as the same mechanism as in mode 2</w:t>
      </w:r>
      <w:r>
        <w:rPr>
          <w:b/>
          <w:lang w:val="en-GB"/>
        </w:rPr>
        <w:t>, the detail can left</w:t>
      </w:r>
      <w:r w:rsidR="00AF224E">
        <w:rPr>
          <w:b/>
          <w:lang w:val="en-GB"/>
        </w:rPr>
        <w:t xml:space="preserve"> to</w:t>
      </w:r>
      <w:r>
        <w:rPr>
          <w:b/>
          <w:lang w:val="en-GB"/>
        </w:rPr>
        <w:t xml:space="preserve"> WI phase</w:t>
      </w:r>
      <w:r w:rsidRPr="006362F0">
        <w:rPr>
          <w:b/>
          <w:lang w:val="en-GB"/>
        </w:rPr>
        <w:t>.</w:t>
      </w:r>
    </w:p>
    <w:p w14:paraId="016302AC" w14:textId="5BC10B52" w:rsidR="00A17DB7" w:rsidRPr="001D7D28" w:rsidRDefault="001A1FCC" w:rsidP="00A17DB7">
      <w:pPr>
        <w:pStyle w:val="1"/>
        <w:overflowPunct w:val="0"/>
        <w:autoSpaceDE w:val="0"/>
        <w:autoSpaceDN w:val="0"/>
        <w:adjustRightInd w:val="0"/>
        <w:rPr>
          <w:rFonts w:eastAsia="新細明體" w:cs="Arial"/>
        </w:rPr>
      </w:pPr>
      <w:r w:rsidRPr="001D7D28">
        <w:rPr>
          <w:rFonts w:eastAsia="新細明體" w:cs="Arial"/>
        </w:rPr>
        <w:t>Conc</w:t>
      </w:r>
      <w:r w:rsidR="00A17DB7" w:rsidRPr="001D7D28">
        <w:rPr>
          <w:rFonts w:eastAsia="新細明體" w:cs="Arial"/>
        </w:rPr>
        <w:t>l</w:t>
      </w:r>
      <w:r w:rsidRPr="001D7D28">
        <w:rPr>
          <w:rFonts w:eastAsia="新細明體" w:cs="Arial"/>
        </w:rPr>
        <w:t>usion</w:t>
      </w:r>
      <w:bookmarkEnd w:id="5"/>
      <w:bookmarkEnd w:id="6"/>
      <w:bookmarkEnd w:id="7"/>
      <w:bookmarkEnd w:id="8"/>
    </w:p>
    <w:p w14:paraId="5EB9FCAE" w14:textId="7C5D2E33" w:rsidR="00260FAA" w:rsidRDefault="00260FAA" w:rsidP="00260FAA">
      <w:pPr>
        <w:rPr>
          <w:lang w:val="en-GB" w:eastAsia="en-US"/>
        </w:rPr>
      </w:pPr>
      <w:r w:rsidRPr="00260FAA">
        <w:rPr>
          <w:lang w:val="en-GB" w:eastAsia="en-US"/>
        </w:rPr>
        <w:t>This document provides the following proposals:</w:t>
      </w:r>
    </w:p>
    <w:p w14:paraId="3865F61F" w14:textId="77777777" w:rsidR="00D6334A" w:rsidRPr="00D6334A" w:rsidRDefault="00D6334A" w:rsidP="00D6334A">
      <w:pPr>
        <w:rPr>
          <w:b/>
          <w:lang w:val="en-GB" w:eastAsia="en-US"/>
        </w:rPr>
      </w:pPr>
      <w:r w:rsidRPr="00D6334A">
        <w:rPr>
          <w:b/>
          <w:lang w:val="en-GB" w:eastAsia="en-US"/>
        </w:rPr>
        <w:t>Proposal 1: RAN2 confirms the feasibility of signalling UE-specific LTE-V2X configuration for mode 4 in dedicated NR RRC signalling (e.g. RRCReconfiguration).</w:t>
      </w:r>
    </w:p>
    <w:p w14:paraId="3A9FCB6B" w14:textId="77777777" w:rsidR="00D6334A" w:rsidRPr="00D6334A" w:rsidRDefault="00D6334A" w:rsidP="00D6334A">
      <w:pPr>
        <w:rPr>
          <w:b/>
          <w:lang w:val="en-GB" w:eastAsia="en-US"/>
        </w:rPr>
      </w:pPr>
      <w:r w:rsidRPr="00D6334A">
        <w:rPr>
          <w:b/>
          <w:lang w:val="en-GB" w:eastAsia="en-US"/>
        </w:rPr>
        <w:lastRenderedPageBreak/>
        <w:t>Proposal 2: RAN2 confirms the feasibility of signalling cell-specific LTE-V2X configuration for mode 4 in broadcast NR RRC signalling (e.g. a new LTE-V2X SIB).</w:t>
      </w:r>
    </w:p>
    <w:p w14:paraId="1F4B9EA4" w14:textId="77777777" w:rsidR="00D6334A" w:rsidRPr="00D6334A" w:rsidRDefault="00D6334A" w:rsidP="00D6334A">
      <w:pPr>
        <w:rPr>
          <w:b/>
          <w:lang w:val="en-GB" w:eastAsia="en-US"/>
        </w:rPr>
      </w:pPr>
      <w:r w:rsidRPr="00D6334A">
        <w:rPr>
          <w:b/>
          <w:lang w:val="en-GB" w:eastAsia="en-US"/>
        </w:rPr>
        <w:t>Proposal 3: Unless issues are identified, plan to capture the LTE V2X IEs as OCTET STRINGs in the NR ASN.1.</w:t>
      </w:r>
    </w:p>
    <w:p w14:paraId="1A41E325" w14:textId="3311BA18" w:rsidR="001A1FCC" w:rsidRDefault="00D6334A" w:rsidP="00D6334A">
      <w:pPr>
        <w:rPr>
          <w:b/>
          <w:lang w:val="en-GB" w:eastAsia="en-US"/>
        </w:rPr>
      </w:pPr>
      <w:r w:rsidRPr="00D6334A">
        <w:rPr>
          <w:b/>
          <w:lang w:val="en-GB" w:eastAsia="en-US"/>
        </w:rPr>
        <w:t>Proposal 4: The NR V2X IEs can be included as OCTET STRINGs in the LTE ASN.1 as the same mechanism as in mode 2, the detail can left to WI phase.</w:t>
      </w:r>
    </w:p>
    <w:p w14:paraId="1CD51B74" w14:textId="71304200" w:rsidR="00A07E02" w:rsidRPr="001D7D28" w:rsidRDefault="007E37A2" w:rsidP="00A07E02">
      <w:pPr>
        <w:pStyle w:val="1"/>
        <w:overflowPunct w:val="0"/>
        <w:autoSpaceDE w:val="0"/>
        <w:autoSpaceDN w:val="0"/>
        <w:adjustRightInd w:val="0"/>
        <w:rPr>
          <w:rFonts w:eastAsia="新細明體" w:cs="Arial"/>
        </w:rPr>
      </w:pPr>
      <w:bookmarkStart w:id="9" w:name="_GoBack"/>
      <w:bookmarkEnd w:id="0"/>
      <w:bookmarkEnd w:id="1"/>
      <w:bookmarkEnd w:id="9"/>
      <w:r w:rsidRPr="001D7D28">
        <w:rPr>
          <w:rFonts w:eastAsia="新細明體" w:cs="Arial"/>
          <w:lang w:eastAsia="zh-TW"/>
        </w:rPr>
        <w:t>R</w:t>
      </w:r>
      <w:r w:rsidR="00A07E02" w:rsidRPr="001D7D28">
        <w:rPr>
          <w:rFonts w:eastAsia="新細明體" w:cs="Arial"/>
        </w:rPr>
        <w:t>eference</w:t>
      </w:r>
      <w:r w:rsidR="00674996" w:rsidRPr="001D7D28">
        <w:rPr>
          <w:rFonts w:eastAsia="新細明體" w:cs="Arial"/>
        </w:rPr>
        <w:t>s</w:t>
      </w:r>
    </w:p>
    <w:p w14:paraId="06AE731F" w14:textId="0AF38B2A" w:rsidR="00D0489D" w:rsidRPr="001D7D28" w:rsidRDefault="00424AFA" w:rsidP="00424AFA">
      <w:pPr>
        <w:numPr>
          <w:ilvl w:val="0"/>
          <w:numId w:val="10"/>
        </w:numPr>
        <w:overflowPunct w:val="0"/>
        <w:autoSpaceDE w:val="0"/>
        <w:autoSpaceDN w:val="0"/>
        <w:adjustRightInd w:val="0"/>
        <w:spacing w:after="120"/>
        <w:jc w:val="both"/>
        <w:rPr>
          <w:rFonts w:ascii="Arial" w:hAnsi="Arial" w:cs="Arial"/>
          <w:sz w:val="20"/>
          <w:szCs w:val="20"/>
          <w:lang w:val="en-GB"/>
        </w:rPr>
      </w:pPr>
      <w:r w:rsidRPr="00424AFA">
        <w:rPr>
          <w:rFonts w:ascii="Arial" w:hAnsi="Arial" w:cs="Arial"/>
          <w:sz w:val="20"/>
          <w:szCs w:val="20"/>
          <w:lang w:val="en-GB"/>
        </w:rPr>
        <w:t>R1-1901445</w:t>
      </w:r>
      <w:r w:rsidR="00166C76" w:rsidRPr="001D7D28">
        <w:rPr>
          <w:rFonts w:ascii="Arial" w:hAnsi="Arial" w:cs="Arial"/>
          <w:sz w:val="20"/>
          <w:szCs w:val="20"/>
          <w:lang w:val="en-GB"/>
        </w:rPr>
        <w:t>, “</w:t>
      </w:r>
      <w:r w:rsidRPr="00424AFA">
        <w:rPr>
          <w:rFonts w:ascii="Arial" w:hAnsi="Arial" w:cs="Arial"/>
          <w:sz w:val="20"/>
          <w:szCs w:val="20"/>
          <w:lang w:val="en-GB"/>
        </w:rPr>
        <w:t>LS on Uu-based sidelink resource allocation for NR V2X</w:t>
      </w:r>
      <w:r w:rsidR="00166C76" w:rsidRPr="001D7D28">
        <w:rPr>
          <w:rFonts w:ascii="Arial" w:hAnsi="Arial" w:cs="Arial"/>
          <w:sz w:val="20"/>
          <w:szCs w:val="20"/>
          <w:lang w:val="en-GB"/>
        </w:rPr>
        <w:t>”, LS from RAN1 to RAN2, RAN1</w:t>
      </w:r>
      <w:r>
        <w:rPr>
          <w:rFonts w:ascii="Arial" w:hAnsi="Arial" w:cs="Arial"/>
          <w:sz w:val="20"/>
          <w:szCs w:val="20"/>
          <w:lang w:val="en-GB"/>
        </w:rPr>
        <w:t xml:space="preserve"> Ad-Hoc Meeting 1901.</w:t>
      </w:r>
    </w:p>
    <w:sectPr w:rsidR="00D0489D" w:rsidRPr="001D7D28"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8F3D5" w14:textId="77777777" w:rsidR="00D43D88" w:rsidRDefault="00D43D88">
      <w:pPr>
        <w:pStyle w:val="TAL"/>
      </w:pPr>
      <w:r>
        <w:separator/>
      </w:r>
    </w:p>
  </w:endnote>
  <w:endnote w:type="continuationSeparator" w:id="0">
    <w:p w14:paraId="291C349F" w14:textId="77777777" w:rsidR="00D43D88" w:rsidRDefault="00D43D8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D6334A">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23A2D" w14:textId="77777777" w:rsidR="00D43D88" w:rsidRDefault="00D43D88">
      <w:pPr>
        <w:pStyle w:val="TAL"/>
      </w:pPr>
      <w:r>
        <w:separator/>
      </w:r>
    </w:p>
  </w:footnote>
  <w:footnote w:type="continuationSeparator" w:id="0">
    <w:p w14:paraId="57719787" w14:textId="77777777" w:rsidR="00D43D88" w:rsidRDefault="00D43D8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03A024C"/>
    <w:multiLevelType w:val="hybridMultilevel"/>
    <w:tmpl w:val="7C9E50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2"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13"/>
  </w:num>
  <w:num w:numId="4">
    <w:abstractNumId w:val="9"/>
  </w:num>
  <w:num w:numId="5">
    <w:abstractNumId w:val="6"/>
  </w:num>
  <w:num w:numId="6">
    <w:abstractNumId w:val="4"/>
  </w:num>
  <w:num w:numId="7">
    <w:abstractNumId w:val="17"/>
  </w:num>
  <w:num w:numId="8">
    <w:abstractNumId w:val="16"/>
  </w:num>
  <w:num w:numId="9">
    <w:abstractNumId w:val="1"/>
  </w:num>
  <w:num w:numId="10">
    <w:abstractNumId w:val="3"/>
  </w:num>
  <w:num w:numId="11">
    <w:abstractNumId w:val="12"/>
  </w:num>
  <w:num w:numId="12">
    <w:abstractNumId w:val="15"/>
  </w:num>
  <w:num w:numId="13">
    <w:abstractNumId w:val="14"/>
  </w:num>
  <w:num w:numId="14">
    <w:abstractNumId w:val="2"/>
  </w:num>
  <w:num w:numId="15">
    <w:abstractNumId w:val="10"/>
  </w:num>
  <w:num w:numId="16">
    <w:abstractNumId w:val="7"/>
  </w:num>
  <w:num w:numId="17">
    <w:abstractNumId w:val="11"/>
  </w:num>
  <w:num w:numId="18">
    <w:abstractNumId w:val="0"/>
  </w:num>
  <w:num w:numId="1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C76"/>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09E"/>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D7D28"/>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B9E"/>
    <w:rsid w:val="00260FAA"/>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637"/>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325"/>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A79D3"/>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4AFA"/>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58"/>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57E27"/>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45D"/>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2F0"/>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765"/>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3CE"/>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47A28"/>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85B"/>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27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61B"/>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764"/>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798"/>
    <w:rsid w:val="00A74BE8"/>
    <w:rsid w:val="00A74DE3"/>
    <w:rsid w:val="00A750ED"/>
    <w:rsid w:val="00A7586E"/>
    <w:rsid w:val="00A75F32"/>
    <w:rsid w:val="00A75FCC"/>
    <w:rsid w:val="00A76013"/>
    <w:rsid w:val="00A76616"/>
    <w:rsid w:val="00A766E5"/>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8C"/>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75E"/>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24E"/>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6A4A"/>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2B8"/>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97F11"/>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2E3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A10"/>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4B9"/>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297C"/>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369"/>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3D88"/>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34A"/>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97518"/>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531D"/>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3845"/>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4E6D"/>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C6D"/>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2F"/>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リスト段落,列出段落1,中等深浅网格 1 - 着色 21,列表段落"/>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リスト段落 字元,列出段落1 字元,中等深浅网格 1 - 着色 21 字元,列表段落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ullet1Char">
    <w:name w:val="bullet1 Char"/>
    <w:basedOn w:val="a0"/>
    <w:link w:val="bullet1"/>
    <w:locked/>
    <w:rsid w:val="00166C76"/>
    <w:rPr>
      <w:rFonts w:ascii="Times" w:hAnsi="Times"/>
      <w:lang w:eastAsia="en-US"/>
    </w:rPr>
  </w:style>
  <w:style w:type="paragraph" w:customStyle="1" w:styleId="bullet1">
    <w:name w:val="bullet1"/>
    <w:basedOn w:val="a"/>
    <w:link w:val="bullet1Char"/>
    <w:rsid w:val="00166C76"/>
    <w:pPr>
      <w:numPr>
        <w:numId w:val="17"/>
      </w:numPr>
    </w:pPr>
    <w:rPr>
      <w:rFonts w:ascii="Times" w:eastAsia="MS Mincho" w:hAnsi="Times"/>
      <w:sz w:val="20"/>
      <w:szCs w:val="20"/>
      <w:lang w:eastAsia="en-US"/>
    </w:rPr>
  </w:style>
  <w:style w:type="character" w:customStyle="1" w:styleId="bullet2Char">
    <w:name w:val="bullet2 Char"/>
    <w:basedOn w:val="a0"/>
    <w:link w:val="bullet2"/>
    <w:locked/>
    <w:rsid w:val="00166C76"/>
    <w:rPr>
      <w:rFonts w:ascii="Times" w:hAnsi="Times"/>
      <w:lang w:eastAsia="en-US"/>
    </w:rPr>
  </w:style>
  <w:style w:type="paragraph" w:customStyle="1" w:styleId="bullet2">
    <w:name w:val="bullet2"/>
    <w:basedOn w:val="a"/>
    <w:link w:val="bullet2Char"/>
    <w:rsid w:val="00166C76"/>
    <w:pPr>
      <w:numPr>
        <w:ilvl w:val="1"/>
        <w:numId w:val="17"/>
      </w:numPr>
    </w:pPr>
    <w:rPr>
      <w:rFonts w:ascii="Times" w:eastAsia="MS Mincho" w:hAnsi="Times"/>
      <w:sz w:val="20"/>
      <w:szCs w:val="20"/>
      <w:lang w:eastAsia="en-US"/>
    </w:rPr>
  </w:style>
  <w:style w:type="paragraph" w:customStyle="1" w:styleId="bullet3">
    <w:name w:val="bullet3"/>
    <w:basedOn w:val="a"/>
    <w:rsid w:val="00166C76"/>
    <w:pPr>
      <w:numPr>
        <w:ilvl w:val="2"/>
        <w:numId w:val="17"/>
      </w:numPr>
      <w:ind w:hanging="180"/>
    </w:pPr>
    <w:rPr>
      <w:rFonts w:ascii="Times" w:eastAsia="MS PGothic" w:hAnsi="Times" w:cs="MS PGothic"/>
      <w:sz w:val="20"/>
      <w:szCs w:val="20"/>
      <w:lang w:val="en-GB" w:eastAsia="en-US"/>
    </w:rPr>
  </w:style>
  <w:style w:type="paragraph" w:customStyle="1" w:styleId="bullet4">
    <w:name w:val="bullet4"/>
    <w:basedOn w:val="a"/>
    <w:rsid w:val="00166C76"/>
    <w:pPr>
      <w:numPr>
        <w:ilvl w:val="3"/>
        <w:numId w:val="17"/>
      </w:numPr>
    </w:pPr>
    <w:rPr>
      <w:rFonts w:ascii="Times" w:eastAsia="MS PGothic" w:hAnsi="Times" w:cs="MS PGothic"/>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0314125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BB2AE4-3B5A-4B5D-BF6B-BF2A13DDF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3628</TotalTime>
  <Pages>3</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35</cp:revision>
  <cp:lastPrinted>2007-12-21T04:58:00Z</cp:lastPrinted>
  <dcterms:created xsi:type="dcterms:W3CDTF">2018-10-22T20:54:00Z</dcterms:created>
  <dcterms:modified xsi:type="dcterms:W3CDTF">2019-02-15T06:06:00Z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